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Informačný list predmetu</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0"/>
        <w:gridCol w:w="5212"/>
        <w:tblGridChange w:id="0">
          <w:tblGrid>
            <w:gridCol w:w="4110"/>
            <w:gridCol w:w="5212"/>
          </w:tblGrid>
        </w:tblGridChange>
      </w:tblGrid>
      <w:tr>
        <w:trPr>
          <w:cantSplit w:val="0"/>
          <w:tblHeader w:val="0"/>
        </w:trPr>
        <w:tc>
          <w:tcPr>
            <w:gridSpan w:val="2"/>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Vysoká škola: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Bratislava International School of Liberal Arts (BISLA)</w:t>
            </w:r>
          </w:p>
        </w:tc>
      </w:tr>
      <w:tr>
        <w:trPr>
          <w:cantSplit w:val="0"/>
          <w:tblHeader w:val="0"/>
        </w:trPr>
        <w:tc>
          <w:tcPr>
            <w:gridSpan w:val="2"/>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Fakulta: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Kód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H-36</w:t>
            </w: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tl w:val="0"/>
              </w:rPr>
            </w:r>
          </w:p>
        </w:tc>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Názov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Modern European History</w:t>
            </w:r>
          </w:p>
        </w:tc>
      </w:tr>
      <w:tr>
        <w:trPr>
          <w:cantSplit w:val="0"/>
          <w:trHeight w:val="714" w:hRule="atLeast"/>
          <w:tblHeader w:val="0"/>
        </w:trPr>
        <w:tc>
          <w:tcPr>
            <w:gridSpan w:val="2"/>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Druh, rozsah a metóda vzdelávacích činností: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Two weekly meetings of 90 minutes each, amounting 42 hours total. Every week, the first meeting takes the form of a lecture and the second, of a seminar. (full-time form) </w:t>
            </w:r>
          </w:p>
        </w:tc>
      </w:tr>
      <w:tr>
        <w:trPr>
          <w:cantSplit w:val="0"/>
          <w:trHeight w:val="286" w:hRule="atLeast"/>
          <w:tblHeader w:val="0"/>
        </w:trPr>
        <w:tc>
          <w:tcPr>
            <w:gridSpan w:val="2"/>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Počet kreditov: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ECT</w:t>
            </w:r>
          </w:p>
        </w:tc>
      </w:tr>
      <w:tr>
        <w:trPr>
          <w:cantSplit w:val="0"/>
          <w:tblHeader w:val="0"/>
        </w:trPr>
        <w:tc>
          <w:tcPr>
            <w:gridSpan w:val="2"/>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Odporúčaný semester/trimester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semester</w:t>
            </w:r>
          </w:p>
        </w:tc>
      </w:tr>
      <w:tr>
        <w:trPr>
          <w:cantSplit w:val="0"/>
          <w:tblHeader w:val="0"/>
        </w:trPr>
        <w:tc>
          <w:tcPr>
            <w:gridSpan w:val="2"/>
            <w:vAlign w:val="top"/>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Stupeň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w:t>
            </w:r>
          </w:p>
        </w:tc>
      </w:tr>
      <w:tr>
        <w:trPr>
          <w:cantSplit w:val="0"/>
          <w:tblHeader w:val="0"/>
        </w:trPr>
        <w:tc>
          <w:tcPr>
            <w:gridSpan w:val="2"/>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Podmieňujúce predmety: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gridSpan w:val="2"/>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Podmienky na absolvovanie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 Seminar Paper and Presentation; 25% Active Participation, based on preparatory reading; 20% Examinations; 15% Reflection Papers; 15% Seminar Leader.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Course evaluation (%): A – excellent: 100-93%, B – very good: 92-84%, C – good: 83-74%, D – satisfactory: 73-63%, E – sufficient: 62-51%, Fx – fail: 50-0%.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Passing the course assumes that student was not absent at more than 4 class sessions. Late arrival is marked as a “tardie”. Three tardies equal one absence. Missing more than 15 minutes of the class is considered an absence.</w:t>
            </w:r>
          </w:p>
        </w:tc>
      </w:tr>
      <w:tr>
        <w:trPr>
          <w:cantSplit w:val="0"/>
          <w:tblHeader w:val="0"/>
        </w:trPr>
        <w:tc>
          <w:tcPr>
            <w:gridSpan w:val="2"/>
            <w:vAlign w:val="top"/>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Výsledky vzdelávania: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Modern European History</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focus mainly on mid-twentieth century European history (1945-1989). As no event occurs in a microcosm, this course will also cover wider developments during this time period. In addition, students will study the effects of these events on developments up to the present day. Students will also examine primary and secondary historical sources, explore key themes, and be expected to master the chronology of events.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course will focus on Europe as a whole, while emphasizing regional variations as well as exceptions to generally regarded rules of homogeneity. Students will be asked to consider the perspective and motivations of various actors (individuals, groups, nations, or alliances) and to assess the value of different historical sources and approaches to writing history.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aim of this course is to give students a deeper understanding of this region’s history and provide some historical context for the contemporary political and philosophical writings. In addition to lectures, seminars, and discussions, students’ written and oral communication skills will be developed through essays and presentations. Along with increased historical understanding, students will cultivate better critical thinking and analytical skills that can be applied in a range of academic and practical settings.</w:t>
            </w:r>
          </w:p>
        </w:tc>
      </w:tr>
      <w:tr>
        <w:trPr>
          <w:cantSplit w:val="0"/>
          <w:tblHeader w:val="0"/>
        </w:trPr>
        <w:tc>
          <w:tcPr>
            <w:gridSpan w:val="2"/>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Stručná osnova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Overview, Definitions, and the End of WWII; 2. Europe in 1945: The Aftermath of WWII; 3. The Cold War: The Beginnings of a Global Conflict; 4. Communism: In Theory and in Practice; 5. Resistance and Repression; 6. The Role of Nationalism; 7. Europe’s Economic Transformation; 8. Non-Communist Europe; 9. History and Historiography; 10. Hope and Despair in Central Europe; 11. Human Rights; 12. Reforms in the West and East; 13. The Collapse of Communism; 14. Post-1989 Europe; 15. Europe Today.</w:t>
            </w:r>
          </w:p>
        </w:tc>
      </w:tr>
      <w:tr>
        <w:trPr>
          <w:cantSplit w:val="0"/>
          <w:tblHeader w:val="0"/>
        </w:trPr>
        <w:tc>
          <w:tcPr>
            <w:gridSpan w:val="2"/>
            <w:vAlign w:val="top"/>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Odporúčaná literatúra: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44"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Betts, P. (2020).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Ruin and Renewal: Civilising Europe After the Second World War</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Profile Books.</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44"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Hosking, Geoffrey. The Reith Lectures: The Rediscovery of Politics. (Radio broadcast; 1988; BBC)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Judt, Tony. Postwar: A History of Europe since 1945. (2005; Vintage, 2010)</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44"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Kundera, Milan. (trans. White, Edmund). The Tragedy of Central Europe. (Essay, New York Review of Books, 26 April 1984)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44"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Lowe, Keith. Savage Continent: Europe in the Aftermath of World War II. (2012; Penguin, 2013).</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44"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McNeill, W. H. (2019). 3. Modern European History. In </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The Past Before Us</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(pp. 95-112). Cornell University Press.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 Philipp. (trans. Hughes-Kreutzmuller, Charlotte). Europe Since 1989: A History. (2014; Princeton University Press, 2016) </w:t>
            </w:r>
          </w:p>
        </w:tc>
      </w:tr>
      <w:tr>
        <w:trPr>
          <w:cantSplit w:val="0"/>
          <w:tblHeader w:val="0"/>
        </w:trPr>
        <w:tc>
          <w:tcPr>
            <w:gridSpan w:val="2"/>
            <w:vAlign w:val="top"/>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Jazyk, ktorého znalosť je potrebná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English</w:t>
            </w:r>
          </w:p>
        </w:tc>
      </w:tr>
      <w:tr>
        <w:trPr>
          <w:cantSplit w:val="0"/>
          <w:tblHeader w:val="0"/>
        </w:trPr>
        <w:tc>
          <w:tcPr>
            <w:gridSpan w:val="2"/>
            <w:vAlign w:val="top"/>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Poznámky: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gridSpan w:val="2"/>
            <w:vAlign w:val="top"/>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Hodnotenie predmetov</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Celkový počet hodnotených študentov: 40</w:t>
            </w:r>
          </w:p>
          <w:tbl>
            <w:tblPr>
              <w:tblStyle w:val="Table2"/>
              <w:tblW w:w="89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96"/>
              <w:gridCol w:w="1497"/>
              <w:gridCol w:w="1497"/>
              <w:gridCol w:w="1497"/>
              <w:gridCol w:w="1497"/>
              <w:gridCol w:w="1497"/>
              <w:tblGridChange w:id="0">
                <w:tblGrid>
                  <w:gridCol w:w="1496"/>
                  <w:gridCol w:w="1497"/>
                  <w:gridCol w:w="1497"/>
                  <w:gridCol w:w="1497"/>
                  <w:gridCol w:w="1497"/>
                  <w:gridCol w:w="14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FX</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w:t>
                  </w:r>
                </w:p>
              </w:tc>
            </w:tr>
          </w:tb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Vyučujúci: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Lucas A. Sprouse, MAHR</w:t>
            </w:r>
          </w:p>
        </w:tc>
      </w:tr>
      <w:tr>
        <w:trPr>
          <w:cantSplit w:val="0"/>
          <w:tblHeader w:val="0"/>
        </w:trPr>
        <w:tc>
          <w:tcPr>
            <w:gridSpan w:val="2"/>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Dátum poslednej zmeny: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12.01.2022</w:t>
            </w:r>
          </w:p>
        </w:tc>
      </w:tr>
      <w:tr>
        <w:trPr>
          <w:cantSplit w:val="0"/>
          <w:tblHeader w:val="0"/>
        </w:trPr>
        <w:tc>
          <w:tcPr>
            <w:gridSpan w:val="2"/>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Schválil: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Prof. PhDr. František Novosád, CSc.</w:t>
            </w:r>
            <w:r w:rsidDel="00000000" w:rsidR="00000000" w:rsidRPr="00000000">
              <w:rPr>
                <w:rtl w:val="0"/>
              </w:rPr>
            </w:r>
          </w:p>
        </w:tc>
      </w:tr>
    </w:tb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17" w:top="1417" w:left="1417" w:right="1417" w:header="567"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Príloha č. 1 k vyhláške MŠVVaŠ SR č. 155/2013 Z. z., ktorou sa mení a dopĺňa vyhláška MŠVVaŠ SR č. </w:t>
    </w:r>
    <w:hyperlink r:id="rId1">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614/2002 Z. z.</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o kreditovom systéme štúdia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y">
    <w:name w:val="Normálny"/>
    <w:next w:val="Normálny"/>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sk-SK"/>
    </w:rPr>
  </w:style>
  <w:style w:type="character" w:styleId="Predvolenépísmoodseku">
    <w:name w:val="Predvolené písmo odseku"/>
    <w:next w:val="Predvolenépísmoodseku"/>
    <w:autoRedefine w:val="0"/>
    <w:hidden w:val="0"/>
    <w:qFormat w:val="1"/>
    <w:rPr>
      <w:w w:val="100"/>
      <w:position w:val="-1"/>
      <w:effect w:val="none"/>
      <w:vertAlign w:val="baseline"/>
      <w:cs w:val="0"/>
      <w:em w:val="none"/>
      <w:lang/>
    </w:rPr>
  </w:style>
  <w:style w:type="table" w:styleId="Normálnatabuľka">
    <w:name w:val="Normálna tabuľka"/>
    <w:next w:val="Normálnatabuľ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Bezzoznamu">
    <w:name w:val="Bez zoznamu"/>
    <w:next w:val="Bezzoznamu"/>
    <w:autoRedefine w:val="0"/>
    <w:hidden w:val="0"/>
    <w:qFormat w:val="1"/>
    <w:pPr>
      <w:suppressAutoHyphens w:val="1"/>
      <w:spacing w:line="1" w:lineRule="atLeast"/>
      <w:ind w:leftChars="-1" w:rightChars="0" w:firstLineChars="-1"/>
      <w:textDirection w:val="btLr"/>
      <w:textAlignment w:val="top"/>
      <w:outlineLvl w:val="0"/>
    </w:pPr>
  </w:style>
  <w:style w:type="table" w:styleId="Mriežkatabuľky">
    <w:name w:val="Mriežka tabuľky"/>
    <w:basedOn w:val="Normálnatabuľka"/>
    <w:next w:val="Mriežkatabuľky"/>
    <w:autoRedefine w:val="0"/>
    <w:hidden w:val="0"/>
    <w:qFormat w:val="0"/>
    <w:pPr>
      <w:suppressAutoHyphens w:val="1"/>
      <w:spacing w:after="0" w:line="240" w:lineRule="auto"/>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eastAsia="sk-SK"/>
    </w:rPr>
    <w:tblPr>
      <w:tblStyle w:val="Mriežkatabuľ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lavička">
    <w:name w:val="Hlavička"/>
    <w:basedOn w:val="Normálny"/>
    <w:next w:val="Hlavičk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HlavičkaChar">
    <w:name w:val="Hlavička Char"/>
    <w:next w:val="Hlavičk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Textbubliny">
    <w:name w:val="Text bubliny"/>
    <w:basedOn w:val="Normálny"/>
    <w:next w:val="Textbubliny"/>
    <w:autoRedefine w:val="0"/>
    <w:hidden w:val="0"/>
    <w:qFormat w:val="1"/>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sk-SK" w:val="und"/>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eastAsia="sk-SK" w:val="und"/>
    </w:rPr>
  </w:style>
  <w:style w:type="paragraph" w:styleId="Päta">
    <w:name w:val="Päta"/>
    <w:basedOn w:val="Normálny"/>
    <w:next w:val="Pät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PätaChar">
    <w:name w:val="Päta Char"/>
    <w:next w:val="Pät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Zoznampoužitejliteratúry1">
    <w:name w:val="Zoznam použitej literatúry 1"/>
    <w:basedOn w:val="Normálny"/>
    <w:next w:val="Zoznampoužitejliteratúry1"/>
    <w:autoRedefine w:val="0"/>
    <w:hidden w:val="0"/>
    <w:qFormat w:val="0"/>
    <w:pPr>
      <w:widowControl w:val="0"/>
      <w:suppressLineNumbers w:val="1"/>
      <w:suppressAutoHyphens w:val="0"/>
      <w:spacing w:line="240" w:lineRule="atLeast"/>
      <w:ind w:left="720" w:leftChars="-1" w:rightChars="0" w:hanging="720" w:firstLineChars="-1"/>
      <w:textDirection w:val="btLr"/>
      <w:textAlignment w:val="top"/>
      <w:outlineLvl w:val="0"/>
    </w:pPr>
    <w:rPr>
      <w:rFonts w:ascii="Liberation Serif" w:cs="FreeSans" w:hAnsi="Liberation Serif"/>
      <w:w w:val="100"/>
      <w:kern w:val="1"/>
      <w:position w:val="-1"/>
      <w:sz w:val="24"/>
      <w:szCs w:val="24"/>
      <w:effect w:val="none"/>
      <w:vertAlign w:val="baseline"/>
      <w:cs w:val="0"/>
      <w:em w:val="none"/>
      <w:lang w:bidi="hi-IN" w:eastAsia="zh-CN"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Garamond" w:cs="Garamond" w:hAnsi="Garamond"/>
      <w:color w:val="000000"/>
      <w:w w:val="100"/>
      <w:position w:val="-1"/>
      <w:sz w:val="24"/>
      <w:szCs w:val="24"/>
      <w:effect w:val="none"/>
      <w:vertAlign w:val="baseline"/>
      <w:cs w:val="0"/>
      <w:em w:val="none"/>
      <w:lang w:bidi="ar-SA" w:eastAsia="sk-SK" w:val="sk-SK"/>
    </w:rPr>
  </w:style>
  <w:style w:type="character" w:styleId="Hypertextovéprepojenie">
    <w:name w:val="Hypertextové prepojenie"/>
    <w:next w:val="Hypertextovéprepojenie"/>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Kp1SIUMapKPqjhfXVfdlpZD+w==">AMUW2mXWjie6mDUqWRxCbzupILAxxilirElcoQys9TRiPNHrcLmtpT3eC3gyMn919xha4JchkcW77UaVr+KB6pZk6tGtju4Ns8Udk4pY4H0KKHTVp08XDbE=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2021-12-13T10:05:00Z</dcterms:created>
  <dc:creator>Ľahká Katarína</dc:creator>
</cp:coreProperties>
</file>

<file path=docProps/custom.xml><?xml version="1.0" encoding="utf-8"?>
<Properties xmlns="http://schemas.openxmlformats.org/officeDocument/2006/custom-properties" xmlns:vt="http://schemas.openxmlformats.org/officeDocument/2006/docPropsVTypes"/>
</file>